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四川省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</w:rPr>
        <w:t>雅安中学育才校区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综合实验楼外墙修复工程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</w:rPr>
        <w:t>项目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招标比选结果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</w:rPr>
        <w:t>公告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8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四川省雅安中学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</w:rPr>
        <w:t>育才校区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综合实验楼外墙修复工程</w:t>
      </w:r>
      <w:r>
        <w:rPr>
          <w:rFonts w:hint="eastAsia" w:asciiTheme="majorEastAsia" w:hAnsiTheme="majorEastAsia" w:eastAsiaTheme="majorEastAsia" w:cstheme="majorEastAsia"/>
          <w:b w:val="0"/>
          <w:bCs/>
          <w:caps w:val="0"/>
          <w:color w:val="666666"/>
          <w:spacing w:val="0"/>
          <w:sz w:val="24"/>
          <w:szCs w:val="24"/>
          <w:shd w:val="clear" w:fill="FFFFFF"/>
        </w:rPr>
        <w:t>项目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招标比选于2020年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日完成评标工作，现将中标候选人公布如下：</w:t>
      </w:r>
    </w:p>
    <w:tbl>
      <w:tblPr>
        <w:tblStyle w:val="6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725"/>
        <w:gridCol w:w="2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</w:rPr>
              <w:t>投标单位</w:t>
            </w:r>
          </w:p>
        </w:tc>
        <w:tc>
          <w:tcPr>
            <w:tcW w:w="2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</w:rPr>
              <w:t>中标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  <w:t>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  <w:t>四川中荣安建设工程有限公司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66000.00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8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公示时间为2020年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日至2020年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日，在公示期间如果对本项目的中标候选人有异议，请在公示期内以书面形式向监督部门提出质疑。公示期内无异议，招标人将向中标人发中标通知书。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8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纪检监督电话：0835-223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8641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right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           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   四川省雅安中学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right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           2020年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日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15FC6"/>
    <w:rsid w:val="2AC905AF"/>
    <w:rsid w:val="30037542"/>
    <w:rsid w:val="55815F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2020-09-24T08:12:00Z</dcterms:created>
  <dc:creator>Administrator</dc:creator>
  <cp:lastModifiedBy>Administrator</cp:lastModifiedBy>
  <dcterms:modified xsi:type="dcterms:W3CDTF">2020-09-24T09:31:18Z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